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881" w:type="dxa"/>
        <w:tblInd w:w="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70"/>
        <w:gridCol w:w="2030"/>
        <w:gridCol w:w="1335"/>
        <w:gridCol w:w="4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8881" w:type="dxa"/>
            <w:gridSpan w:val="4"/>
            <w:tcBorders>
              <w:top w:val="nil"/>
              <w:left w:val="nil"/>
              <w:bottom w:val="nil"/>
              <w:right w:val="nil"/>
            </w:tcBorders>
            <w:shd w:val="clear" w:color="auto" w:fill="auto"/>
            <w:noWrap/>
            <w:tcMar>
              <w:top w:w="11" w:type="dxa"/>
              <w:left w:w="11" w:type="dxa"/>
              <w:bottom w:w="0"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bCs w:val="0"/>
                <w:color w:val="333333"/>
              </w:rPr>
            </w:pPr>
            <w:r>
              <w:rPr>
                <w:rFonts w:ascii="方正小标宋简体" w:hAnsi="方正小标宋简体" w:eastAsia="方正小标宋简体" w:cs="方正小标宋简体"/>
                <w:b w:val="0"/>
                <w:bCs w:val="0"/>
                <w:color w:val="333333"/>
                <w:kern w:val="0"/>
                <w:sz w:val="40"/>
                <w:szCs w:val="40"/>
                <w:lang w:val="en-US" w:eastAsia="zh-CN" w:bidi="ar"/>
              </w:rPr>
              <w:t>省药监局202</w:t>
            </w:r>
            <w:r>
              <w:rPr>
                <w:rFonts w:hint="eastAsia" w:ascii="方正小标宋简体" w:hAnsi="方正小标宋简体" w:eastAsia="方正小标宋简体" w:cs="方正小标宋简体"/>
                <w:b w:val="0"/>
                <w:bCs w:val="0"/>
                <w:color w:val="333333"/>
                <w:kern w:val="0"/>
                <w:sz w:val="40"/>
                <w:szCs w:val="40"/>
                <w:lang w:val="en-US" w:eastAsia="zh-CN" w:bidi="ar"/>
              </w:rPr>
              <w:t>3</w:t>
            </w:r>
            <w:r>
              <w:rPr>
                <w:rFonts w:ascii="方正小标宋简体" w:hAnsi="方正小标宋简体" w:eastAsia="方正小标宋简体" w:cs="方正小标宋简体"/>
                <w:b w:val="0"/>
                <w:bCs w:val="0"/>
                <w:color w:val="333333"/>
                <w:kern w:val="0"/>
                <w:sz w:val="40"/>
                <w:szCs w:val="40"/>
                <w:lang w:val="en-US" w:eastAsia="zh-CN" w:bidi="ar"/>
              </w:rPr>
              <w:t>年度政府购买服务项目公开表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3" w:hRule="atLeast"/>
        </w:trPr>
        <w:tc>
          <w:tcPr>
            <w:tcW w:w="1370" w:type="dxa"/>
            <w:tcBorders>
              <w:top w:val="single" w:color="auto" w:sz="4" w:space="0"/>
              <w:left w:val="single" w:color="auto" w:sz="4" w:space="0"/>
              <w:bottom w:val="single" w:color="auto" w:sz="4" w:space="0"/>
              <w:right w:val="single" w:color="auto" w:sz="4" w:space="0"/>
            </w:tcBorders>
            <w:shd w:val="clear" w:color="auto" w:fill="auto"/>
            <w:noWrap/>
            <w:tcMar>
              <w:top w:w="11" w:type="dxa"/>
              <w:left w:w="11" w:type="dxa"/>
              <w:bottom w:w="0"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bCs w:val="0"/>
                <w:color w:val="333333"/>
              </w:rPr>
            </w:pPr>
            <w:r>
              <w:rPr>
                <w:rFonts w:ascii="黑体" w:hAnsi="宋体" w:eastAsia="黑体" w:cs="黑体"/>
                <w:b w:val="0"/>
                <w:bCs w:val="0"/>
                <w:color w:val="333333"/>
                <w:kern w:val="0"/>
                <w:sz w:val="24"/>
                <w:szCs w:val="24"/>
                <w:lang w:val="en-US" w:eastAsia="zh-CN" w:bidi="ar"/>
              </w:rPr>
              <w:t>购买主体</w:t>
            </w:r>
          </w:p>
        </w:tc>
        <w:tc>
          <w:tcPr>
            <w:tcW w:w="7511" w:type="dxa"/>
            <w:gridSpan w:val="3"/>
            <w:tcBorders>
              <w:top w:val="single" w:color="auto" w:sz="4" w:space="0"/>
              <w:left w:val="nil"/>
              <w:bottom w:val="single" w:color="auto" w:sz="4" w:space="0"/>
              <w:right w:val="single" w:color="auto" w:sz="4" w:space="0"/>
            </w:tcBorders>
            <w:shd w:val="clear" w:color="auto" w:fill="auto"/>
            <w:tcMar>
              <w:top w:w="11" w:type="dxa"/>
              <w:left w:w="11" w:type="dxa"/>
              <w:bottom w:w="0"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bCs w:val="0"/>
                <w:color w:val="333333"/>
              </w:rPr>
            </w:pPr>
            <w:r>
              <w:rPr>
                <w:rFonts w:ascii="仿宋_GB2312" w:hAnsi="Microsoft YaHei UI" w:eastAsia="仿宋_GB2312" w:cs="仿宋_GB2312"/>
                <w:b w:val="0"/>
                <w:bCs w:val="0"/>
                <w:color w:val="333333"/>
                <w:kern w:val="0"/>
                <w:sz w:val="24"/>
                <w:szCs w:val="24"/>
                <w:lang w:val="en-US" w:eastAsia="zh-CN" w:bidi="ar"/>
              </w:rPr>
              <w:t>辽宁省药品监督管理局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4" w:hRule="atLeast"/>
        </w:trPr>
        <w:tc>
          <w:tcPr>
            <w:tcW w:w="1370" w:type="dxa"/>
            <w:tcBorders>
              <w:top w:val="single" w:color="auto" w:sz="4" w:space="0"/>
              <w:left w:val="single" w:color="auto" w:sz="4" w:space="0"/>
              <w:bottom w:val="single" w:color="auto" w:sz="4" w:space="0"/>
              <w:right w:val="single" w:color="auto" w:sz="4" w:space="0"/>
            </w:tcBorders>
            <w:shd w:val="clear" w:color="auto" w:fill="auto"/>
            <w:noWrap/>
            <w:tcMar>
              <w:top w:w="11" w:type="dxa"/>
              <w:left w:w="11" w:type="dxa"/>
              <w:bottom w:w="0"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bCs w:val="0"/>
                <w:color w:val="333333"/>
              </w:rPr>
            </w:pPr>
            <w:r>
              <w:rPr>
                <w:rFonts w:hint="eastAsia" w:ascii="黑体" w:hAnsi="宋体" w:eastAsia="黑体" w:cs="黑体"/>
                <w:b w:val="0"/>
                <w:bCs w:val="0"/>
                <w:color w:val="333333"/>
                <w:kern w:val="0"/>
                <w:sz w:val="24"/>
                <w:szCs w:val="24"/>
                <w:lang w:val="en-US" w:eastAsia="zh-CN" w:bidi="ar"/>
              </w:rPr>
              <w:t>地点</w:t>
            </w:r>
          </w:p>
        </w:tc>
        <w:tc>
          <w:tcPr>
            <w:tcW w:w="7511" w:type="dxa"/>
            <w:gridSpan w:val="3"/>
            <w:tcBorders>
              <w:top w:val="single" w:color="auto" w:sz="4" w:space="0"/>
              <w:left w:val="nil"/>
              <w:bottom w:val="single" w:color="auto" w:sz="4" w:space="0"/>
              <w:right w:val="single" w:color="auto" w:sz="4" w:space="0"/>
            </w:tcBorders>
            <w:shd w:val="clear" w:color="auto" w:fill="auto"/>
            <w:tcMar>
              <w:top w:w="11" w:type="dxa"/>
              <w:left w:w="11" w:type="dxa"/>
              <w:bottom w:w="0"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bCs w:val="0"/>
                <w:color w:val="333333"/>
              </w:rPr>
            </w:pPr>
            <w:r>
              <w:rPr>
                <w:rFonts w:hint="eastAsia" w:ascii="仿宋_GB2312" w:hAnsi="Microsoft YaHei UI" w:eastAsia="仿宋_GB2312" w:cs="仿宋_GB2312"/>
                <w:b w:val="0"/>
                <w:bCs w:val="0"/>
                <w:color w:val="333333"/>
                <w:kern w:val="0"/>
                <w:sz w:val="24"/>
                <w:szCs w:val="24"/>
                <w:lang w:val="en-US" w:eastAsia="zh-CN" w:bidi="ar"/>
              </w:rPr>
              <w:t>沈阳市和平区十纬路16号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trPr>
        <w:tc>
          <w:tcPr>
            <w:tcW w:w="1370" w:type="dxa"/>
            <w:tcBorders>
              <w:top w:val="single" w:color="auto" w:sz="4" w:space="0"/>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bCs w:val="0"/>
                <w:color w:val="333333"/>
              </w:rPr>
            </w:pPr>
            <w:r>
              <w:rPr>
                <w:rFonts w:hint="eastAsia" w:ascii="黑体" w:hAnsi="宋体" w:eastAsia="黑体" w:cs="黑体"/>
                <w:b w:val="0"/>
                <w:bCs w:val="0"/>
                <w:color w:val="333333"/>
                <w:kern w:val="0"/>
                <w:sz w:val="24"/>
                <w:szCs w:val="24"/>
                <w:lang w:val="en-US" w:eastAsia="zh-CN" w:bidi="ar"/>
              </w:rPr>
              <w:t>项目名称</w:t>
            </w:r>
          </w:p>
        </w:tc>
        <w:tc>
          <w:tcPr>
            <w:tcW w:w="2030" w:type="dxa"/>
            <w:tcBorders>
              <w:top w:val="single" w:color="auto" w:sz="4" w:space="0"/>
              <w:left w:val="nil"/>
              <w:bottom w:val="single" w:color="auto" w:sz="4" w:space="0"/>
              <w:right w:val="single" w:color="auto" w:sz="4" w:space="0"/>
            </w:tcBorders>
            <w:shd w:val="clear" w:color="auto" w:fill="auto"/>
            <w:tcMar>
              <w:top w:w="11" w:type="dxa"/>
              <w:left w:w="11" w:type="dxa"/>
              <w:bottom w:w="0"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bCs w:val="0"/>
                <w:color w:val="333333"/>
              </w:rPr>
            </w:pPr>
            <w:r>
              <w:rPr>
                <w:rFonts w:hint="eastAsia" w:ascii="仿宋_GB2312" w:hAnsi="Microsoft YaHei UI" w:eastAsia="仿宋_GB2312" w:cs="仿宋_GB2312"/>
                <w:b w:val="0"/>
                <w:bCs w:val="0"/>
                <w:color w:val="333333"/>
                <w:kern w:val="0"/>
                <w:sz w:val="24"/>
                <w:szCs w:val="24"/>
                <w:lang w:val="en-US" w:eastAsia="zh-CN" w:bidi="ar"/>
              </w:rPr>
              <w:t>药械化抽检等服务</w:t>
            </w:r>
          </w:p>
        </w:tc>
        <w:tc>
          <w:tcPr>
            <w:tcW w:w="1335" w:type="dxa"/>
            <w:tcBorders>
              <w:top w:val="single" w:color="auto" w:sz="4" w:space="0"/>
              <w:left w:val="nil"/>
              <w:bottom w:val="single" w:color="auto" w:sz="4" w:space="0"/>
              <w:right w:val="single" w:color="auto" w:sz="4" w:space="0"/>
            </w:tcBorders>
            <w:shd w:val="clear" w:color="auto" w:fill="auto"/>
            <w:tcMar>
              <w:top w:w="11" w:type="dxa"/>
              <w:left w:w="11" w:type="dxa"/>
              <w:bottom w:w="0"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bCs w:val="0"/>
                <w:color w:val="333333"/>
              </w:rPr>
            </w:pPr>
            <w:r>
              <w:rPr>
                <w:rFonts w:hint="eastAsia" w:ascii="黑体" w:hAnsi="宋体" w:eastAsia="黑体" w:cs="黑体"/>
                <w:b w:val="0"/>
                <w:bCs w:val="0"/>
                <w:color w:val="333333"/>
                <w:kern w:val="0"/>
                <w:sz w:val="24"/>
                <w:szCs w:val="24"/>
                <w:lang w:val="en-US" w:eastAsia="zh-CN" w:bidi="ar"/>
              </w:rPr>
              <w:t>预算资金</w:t>
            </w:r>
            <w:r>
              <w:rPr>
                <w:rFonts w:hint="eastAsia" w:ascii="黑体" w:hAnsi="宋体" w:eastAsia="黑体" w:cs="黑体"/>
                <w:b w:val="0"/>
                <w:bCs w:val="0"/>
                <w:color w:val="333333"/>
                <w:kern w:val="0"/>
                <w:sz w:val="24"/>
                <w:szCs w:val="24"/>
                <w:lang w:val="en-US" w:eastAsia="zh-CN" w:bidi="ar"/>
              </w:rPr>
              <w:br w:type="textWrapping"/>
            </w:r>
            <w:r>
              <w:rPr>
                <w:rFonts w:hint="eastAsia" w:ascii="黑体" w:hAnsi="宋体" w:eastAsia="黑体" w:cs="黑体"/>
                <w:b w:val="0"/>
                <w:bCs w:val="0"/>
                <w:color w:val="333333"/>
                <w:kern w:val="0"/>
                <w:sz w:val="24"/>
                <w:szCs w:val="24"/>
                <w:lang w:val="en-US" w:eastAsia="zh-CN" w:bidi="ar"/>
              </w:rPr>
              <w:t>（万元）</w:t>
            </w:r>
          </w:p>
        </w:tc>
        <w:tc>
          <w:tcPr>
            <w:tcW w:w="4146" w:type="dxa"/>
            <w:tcBorders>
              <w:top w:val="single" w:color="auto" w:sz="4" w:space="0"/>
              <w:left w:val="nil"/>
              <w:bottom w:val="single" w:color="auto" w:sz="4" w:space="0"/>
              <w:right w:val="single" w:color="auto" w:sz="4" w:space="0"/>
            </w:tcBorders>
            <w:shd w:val="clear" w:color="auto" w:fill="auto"/>
            <w:tcMar>
              <w:top w:w="11" w:type="dxa"/>
              <w:left w:w="11" w:type="dxa"/>
              <w:bottom w:w="0"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bCs w:val="0"/>
                <w:color w:val="333333"/>
              </w:rPr>
            </w:pPr>
            <w:r>
              <w:rPr>
                <w:rFonts w:hint="eastAsia" w:ascii="仿宋_GB2312" w:hAnsi="Microsoft YaHei UI" w:eastAsia="仿宋_GB2312" w:cs="仿宋_GB2312"/>
                <w:b w:val="0"/>
                <w:bCs w:val="0"/>
                <w:color w:val="333333"/>
                <w:kern w:val="0"/>
                <w:sz w:val="24"/>
                <w:szCs w:val="24"/>
                <w:highlight w:val="none"/>
                <w:lang w:val="en-US" w:eastAsia="zh-CN" w:bidi="ar"/>
              </w:rPr>
              <w:t>1,526.90万元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31" w:hRule="atLeast"/>
        </w:trPr>
        <w:tc>
          <w:tcPr>
            <w:tcW w:w="1370" w:type="dxa"/>
            <w:tcBorders>
              <w:top w:val="single" w:color="auto" w:sz="4" w:space="0"/>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bCs w:val="0"/>
                <w:color w:val="333333"/>
              </w:rPr>
            </w:pPr>
            <w:r>
              <w:rPr>
                <w:rFonts w:hint="eastAsia" w:ascii="黑体" w:hAnsi="宋体" w:eastAsia="黑体" w:cs="黑体"/>
                <w:b w:val="0"/>
                <w:bCs w:val="0"/>
                <w:color w:val="333333"/>
                <w:kern w:val="0"/>
                <w:sz w:val="24"/>
                <w:szCs w:val="24"/>
                <w:lang w:val="en-US" w:eastAsia="zh-CN" w:bidi="ar"/>
              </w:rPr>
              <w:t>项目内容</w:t>
            </w:r>
            <w:r>
              <w:rPr>
                <w:rFonts w:hint="eastAsia" w:ascii="黑体" w:hAnsi="宋体" w:eastAsia="黑体" w:cs="黑体"/>
                <w:b w:val="0"/>
                <w:bCs w:val="0"/>
                <w:color w:val="333333"/>
                <w:kern w:val="0"/>
                <w:sz w:val="24"/>
                <w:szCs w:val="24"/>
                <w:lang w:val="en-US" w:eastAsia="zh-CN" w:bidi="ar"/>
              </w:rPr>
              <w:br w:type="textWrapping"/>
            </w:r>
            <w:r>
              <w:rPr>
                <w:rFonts w:hint="eastAsia" w:ascii="仿宋_GB2312" w:hAnsi="宋体" w:eastAsia="仿宋_GB2312" w:cs="仿宋_GB2312"/>
                <w:kern w:val="0"/>
                <w:sz w:val="24"/>
                <w:szCs w:val="24"/>
                <w:lang w:val="en-US" w:eastAsia="zh-CN" w:bidi="ar"/>
              </w:rPr>
              <w:t>（简要规格描述或基本概况）</w:t>
            </w:r>
          </w:p>
        </w:tc>
        <w:tc>
          <w:tcPr>
            <w:tcW w:w="7511" w:type="dxa"/>
            <w:gridSpan w:val="3"/>
            <w:tcBorders>
              <w:top w:val="single" w:color="auto" w:sz="4" w:space="0"/>
              <w:left w:val="nil"/>
              <w:bottom w:val="single" w:color="auto" w:sz="4" w:space="0"/>
              <w:right w:val="single" w:color="auto" w:sz="4" w:space="0"/>
            </w:tcBorders>
            <w:shd w:val="clear" w:color="auto" w:fill="auto"/>
            <w:tcMar>
              <w:top w:w="11" w:type="dxa"/>
              <w:left w:w="11" w:type="dxa"/>
              <w:bottom w:w="0"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b w:val="0"/>
                <w:bCs w:val="0"/>
                <w:color w:val="333333"/>
              </w:rPr>
            </w:pPr>
            <w:r>
              <w:rPr>
                <w:rFonts w:hint="eastAsia" w:ascii="仿宋_GB2312" w:hAnsi="Microsoft YaHei UI" w:eastAsia="仿宋_GB2312" w:cs="仿宋_GB2312"/>
                <w:b w:val="0"/>
                <w:bCs w:val="0"/>
                <w:color w:val="333333"/>
                <w:kern w:val="0"/>
                <w:sz w:val="24"/>
                <w:szCs w:val="24"/>
                <w:lang w:val="en-US" w:eastAsia="zh-CN" w:bidi="ar"/>
              </w:rPr>
              <w:t>一、药品抽检（1.药品抽样200批次、2.药品检验1000批次）；二、乙肝疫苗批签发检验；三、药品注册检验（1.药品注册样品检验300批次；2.药品注册标准复核55个）；四、药包材容器风险监测（70批次）；五、医疗器械检验（317批次）；六、化妆品抽检（122批次）；七、行刑衔接检验。</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1370" w:type="dxa"/>
            <w:vMerge w:val="restart"/>
            <w:tcBorders>
              <w:top w:val="nil"/>
              <w:left w:val="single" w:color="auto" w:sz="4" w:space="0"/>
              <w:bottom w:val="single" w:color="auto" w:sz="4" w:space="0"/>
              <w:right w:val="single" w:color="auto" w:sz="4" w:space="0"/>
            </w:tcBorders>
            <w:shd w:val="clear" w:color="auto" w:fill="auto"/>
            <w:noWrap/>
            <w:tcMar>
              <w:top w:w="11" w:type="dxa"/>
              <w:left w:w="11" w:type="dxa"/>
              <w:bottom w:w="0"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bCs w:val="0"/>
                <w:color w:val="333333"/>
              </w:rPr>
            </w:pPr>
            <w:r>
              <w:rPr>
                <w:rFonts w:hint="eastAsia" w:ascii="黑体" w:hAnsi="宋体" w:eastAsia="黑体" w:cs="黑体"/>
                <w:b w:val="0"/>
                <w:bCs w:val="0"/>
                <w:color w:val="333333"/>
                <w:kern w:val="0"/>
                <w:sz w:val="24"/>
                <w:szCs w:val="24"/>
                <w:lang w:val="en-US" w:eastAsia="zh-CN" w:bidi="ar"/>
              </w:rPr>
              <w:t>购买方式</w:t>
            </w:r>
          </w:p>
        </w:tc>
        <w:tc>
          <w:tcPr>
            <w:tcW w:w="2030" w:type="dxa"/>
            <w:vMerge w:val="restart"/>
            <w:tcBorders>
              <w:top w:val="nil"/>
              <w:left w:val="nil"/>
              <w:bottom w:val="single" w:color="auto" w:sz="4" w:space="0"/>
              <w:right w:val="single" w:color="auto" w:sz="4" w:space="0"/>
            </w:tcBorders>
            <w:shd w:val="clear" w:color="auto" w:fill="auto"/>
            <w:noWrap/>
            <w:tcMar>
              <w:top w:w="11" w:type="dxa"/>
              <w:left w:w="11" w:type="dxa"/>
              <w:bottom w:w="0"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bCs w:val="0"/>
                <w:color w:val="333333"/>
              </w:rPr>
            </w:pPr>
            <w:r>
              <w:rPr>
                <w:rFonts w:hint="eastAsia" w:ascii="仿宋_GB2312" w:hAnsi="Microsoft YaHei UI" w:eastAsia="仿宋_GB2312" w:cs="仿宋_GB2312"/>
                <w:b w:val="0"/>
                <w:bCs w:val="0"/>
                <w:color w:val="333333"/>
                <w:kern w:val="0"/>
                <w:sz w:val="24"/>
                <w:szCs w:val="24"/>
                <w:lang w:val="en-US" w:eastAsia="zh-CN" w:bidi="ar"/>
              </w:rPr>
              <w:t>单一来源采购</w:t>
            </w:r>
          </w:p>
        </w:tc>
        <w:tc>
          <w:tcPr>
            <w:tcW w:w="1335" w:type="dxa"/>
            <w:vMerge w:val="restart"/>
            <w:tcBorders>
              <w:top w:val="single" w:color="auto" w:sz="4" w:space="0"/>
              <w:left w:val="nil"/>
              <w:bottom w:val="single" w:color="auto" w:sz="4" w:space="0"/>
              <w:right w:val="single" w:color="auto" w:sz="4" w:space="0"/>
            </w:tcBorders>
            <w:shd w:val="clear" w:color="auto" w:fill="auto"/>
            <w:tcMar>
              <w:top w:w="11" w:type="dxa"/>
              <w:left w:w="11" w:type="dxa"/>
              <w:bottom w:w="0"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bCs w:val="0"/>
                <w:color w:val="333333"/>
              </w:rPr>
            </w:pPr>
            <w:r>
              <w:rPr>
                <w:rFonts w:hint="eastAsia" w:ascii="黑体" w:hAnsi="宋体" w:eastAsia="黑体" w:cs="黑体"/>
                <w:b w:val="0"/>
                <w:bCs w:val="0"/>
                <w:color w:val="333333"/>
                <w:kern w:val="0"/>
                <w:sz w:val="24"/>
                <w:szCs w:val="24"/>
                <w:lang w:val="en-US" w:eastAsia="zh-CN" w:bidi="ar"/>
              </w:rPr>
              <w:t>唯一承接主体对象名称及原因</w:t>
            </w:r>
          </w:p>
        </w:tc>
        <w:tc>
          <w:tcPr>
            <w:tcW w:w="4146" w:type="dxa"/>
            <w:vMerge w:val="restart"/>
            <w:tcBorders>
              <w:top w:val="single" w:color="auto" w:sz="4" w:space="0"/>
              <w:left w:val="nil"/>
              <w:bottom w:val="single" w:color="auto" w:sz="4" w:space="0"/>
              <w:right w:val="single" w:color="auto" w:sz="4" w:space="0"/>
            </w:tcBorders>
            <w:shd w:val="clear" w:color="auto" w:fill="auto"/>
            <w:tcMar>
              <w:top w:w="11" w:type="dxa"/>
              <w:left w:w="11" w:type="dxa"/>
              <w:bottom w:w="0"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b w:val="0"/>
                <w:bCs w:val="0"/>
                <w:color w:val="333333"/>
              </w:rPr>
            </w:pPr>
            <w:r>
              <w:rPr>
                <w:rFonts w:hint="eastAsia" w:ascii="仿宋_GB2312" w:hAnsi="Microsoft YaHei UI" w:eastAsia="仿宋_GB2312" w:cs="仿宋_GB2312"/>
                <w:b w:val="0"/>
                <w:bCs w:val="0"/>
                <w:color w:val="333333"/>
                <w:kern w:val="0"/>
                <w:sz w:val="24"/>
                <w:szCs w:val="24"/>
                <w:lang w:val="en-US" w:eastAsia="zh-CN" w:bidi="ar"/>
              </w:rPr>
              <w:t>承接主体：辽宁省检验检测认证中心。原因：一是因事业单位机构改革，省药监局原承担药械化抽检工作的药品检验检测院、医疗器械检验检测院与其他单位共同组建成立省检验检测认证中心，根据改革有关政策，原由上述两个单位承担的相关工作继续由省检验检测认证中心承担。二是《中华人民共和国药品管理法》规定，药品监督管理部门设置或指定的药品专业技术机构，承担依法实施药品监督管理所需的审评、检验、核查、监测、与评价等工作；《医疗器械监督管理条例》规定，负责药品监督管理的部门在执法工作中需要对医疗器械进行检验的，应当委托有资质的医疗器械检验机构进行，并支付相关费用。故省药监局的药械化抽检等服务属政策法规规定的可以指定和委托服务机构的情况，因此采用单一来源购买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77" w:hRule="atLeast"/>
        </w:trPr>
        <w:tc>
          <w:tcPr>
            <w:tcW w:w="1370" w:type="dxa"/>
            <w:vMerge w:val="continue"/>
            <w:tcBorders>
              <w:top w:val="nil"/>
              <w:left w:val="single" w:color="auto" w:sz="4" w:space="0"/>
              <w:bottom w:val="single" w:color="auto" w:sz="4" w:space="0"/>
              <w:right w:val="single" w:color="auto" w:sz="4" w:space="0"/>
            </w:tcBorders>
            <w:shd w:val="clear" w:color="auto" w:fill="auto"/>
            <w:noWrap/>
            <w:tcMar>
              <w:top w:w="11" w:type="dxa"/>
              <w:left w:w="11" w:type="dxa"/>
              <w:bottom w:w="0" w:type="dxa"/>
              <w:right w:w="11" w:type="dxa"/>
            </w:tcMar>
            <w:vAlign w:val="center"/>
          </w:tcPr>
          <w:p>
            <w:pPr>
              <w:rPr>
                <w:rFonts w:hint="eastAsia" w:ascii="Microsoft YaHei UI" w:hAnsi="Microsoft YaHei UI" w:eastAsia="Microsoft YaHei UI" w:cs="Microsoft YaHei UI"/>
                <w:color w:val="333333"/>
                <w:sz w:val="24"/>
                <w:szCs w:val="24"/>
              </w:rPr>
            </w:pPr>
          </w:p>
        </w:tc>
        <w:tc>
          <w:tcPr>
            <w:tcW w:w="2030" w:type="dxa"/>
            <w:vMerge w:val="continue"/>
            <w:tcBorders>
              <w:top w:val="nil"/>
              <w:left w:val="nil"/>
              <w:bottom w:val="single" w:color="auto" w:sz="4" w:space="0"/>
              <w:right w:val="single" w:color="auto" w:sz="4" w:space="0"/>
            </w:tcBorders>
            <w:shd w:val="clear" w:color="auto" w:fill="auto"/>
            <w:noWrap/>
            <w:tcMar>
              <w:top w:w="11" w:type="dxa"/>
              <w:left w:w="11" w:type="dxa"/>
              <w:bottom w:w="0" w:type="dxa"/>
              <w:right w:w="11" w:type="dxa"/>
            </w:tcMar>
            <w:vAlign w:val="center"/>
          </w:tcPr>
          <w:p>
            <w:pPr>
              <w:rPr>
                <w:rFonts w:hint="eastAsia" w:ascii="Microsoft YaHei UI" w:hAnsi="Microsoft YaHei UI" w:eastAsia="Microsoft YaHei UI" w:cs="Microsoft YaHei UI"/>
                <w:color w:val="333333"/>
                <w:sz w:val="24"/>
                <w:szCs w:val="24"/>
              </w:rPr>
            </w:pPr>
          </w:p>
        </w:tc>
        <w:tc>
          <w:tcPr>
            <w:tcW w:w="1335" w:type="dxa"/>
            <w:vMerge w:val="continue"/>
            <w:tcBorders>
              <w:top w:val="single" w:color="auto" w:sz="4" w:space="0"/>
              <w:left w:val="nil"/>
              <w:bottom w:val="single" w:color="auto" w:sz="4" w:space="0"/>
              <w:right w:val="single" w:color="auto" w:sz="4" w:space="0"/>
            </w:tcBorders>
            <w:shd w:val="clear" w:color="auto" w:fill="auto"/>
            <w:tcMar>
              <w:top w:w="11" w:type="dxa"/>
              <w:left w:w="11" w:type="dxa"/>
              <w:bottom w:w="0" w:type="dxa"/>
              <w:right w:w="11" w:type="dxa"/>
            </w:tcMar>
            <w:vAlign w:val="center"/>
          </w:tcPr>
          <w:p>
            <w:pPr>
              <w:rPr>
                <w:rFonts w:hint="eastAsia" w:ascii="Microsoft YaHei UI" w:hAnsi="Microsoft YaHei UI" w:eastAsia="Microsoft YaHei UI" w:cs="Microsoft YaHei UI"/>
                <w:color w:val="333333"/>
                <w:sz w:val="24"/>
                <w:szCs w:val="24"/>
              </w:rPr>
            </w:pPr>
          </w:p>
        </w:tc>
        <w:tc>
          <w:tcPr>
            <w:tcW w:w="4146" w:type="dxa"/>
            <w:vMerge w:val="continue"/>
            <w:tcBorders>
              <w:top w:val="single" w:color="auto" w:sz="4" w:space="0"/>
              <w:left w:val="nil"/>
              <w:bottom w:val="single" w:color="auto" w:sz="4" w:space="0"/>
              <w:right w:val="single" w:color="auto" w:sz="4" w:space="0"/>
            </w:tcBorders>
            <w:shd w:val="clear" w:color="auto" w:fill="auto"/>
            <w:tcMar>
              <w:top w:w="11" w:type="dxa"/>
              <w:left w:w="11" w:type="dxa"/>
              <w:bottom w:w="0" w:type="dxa"/>
              <w:right w:w="11" w:type="dxa"/>
            </w:tcMar>
            <w:vAlign w:val="center"/>
          </w:tcPr>
          <w:p>
            <w:pPr>
              <w:rPr>
                <w:rFonts w:hint="eastAsia" w:ascii="Microsoft YaHei UI" w:hAnsi="Microsoft YaHei UI" w:eastAsia="Microsoft YaHei UI" w:cs="Microsoft YaHei UI"/>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5" w:hRule="atLeast"/>
        </w:trPr>
        <w:tc>
          <w:tcPr>
            <w:tcW w:w="1370" w:type="dxa"/>
            <w:tcBorders>
              <w:top w:val="single" w:color="auto" w:sz="4" w:space="0"/>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bCs w:val="0"/>
                <w:color w:val="333333"/>
              </w:rPr>
            </w:pPr>
            <w:r>
              <w:rPr>
                <w:rFonts w:hint="eastAsia" w:ascii="黑体" w:hAnsi="宋体" w:eastAsia="黑体" w:cs="黑体"/>
                <w:b w:val="0"/>
                <w:bCs w:val="0"/>
                <w:color w:val="333333"/>
                <w:kern w:val="0"/>
                <w:sz w:val="24"/>
                <w:szCs w:val="24"/>
                <w:lang w:val="en-US" w:eastAsia="zh-CN" w:bidi="ar"/>
              </w:rPr>
              <w:t>购买项目联系人</w:t>
            </w:r>
          </w:p>
        </w:tc>
        <w:tc>
          <w:tcPr>
            <w:tcW w:w="2030" w:type="dxa"/>
            <w:tcBorders>
              <w:top w:val="single" w:color="auto" w:sz="4" w:space="0"/>
              <w:left w:val="nil"/>
              <w:bottom w:val="single" w:color="auto" w:sz="4" w:space="0"/>
              <w:right w:val="single" w:color="auto" w:sz="4" w:space="0"/>
            </w:tcBorders>
            <w:shd w:val="clear" w:color="auto" w:fill="auto"/>
            <w:noWrap/>
            <w:tcMar>
              <w:top w:w="11" w:type="dxa"/>
              <w:left w:w="11" w:type="dxa"/>
              <w:bottom w:w="0"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bCs w:val="0"/>
                <w:color w:val="333333"/>
              </w:rPr>
            </w:pPr>
            <w:r>
              <w:rPr>
                <w:rFonts w:hint="eastAsia" w:ascii="仿宋_GB2312" w:hAnsi="Microsoft YaHei UI" w:eastAsia="仿宋_GB2312" w:cs="仿宋_GB2312"/>
                <w:b w:val="0"/>
                <w:bCs w:val="0"/>
                <w:color w:val="333333"/>
                <w:kern w:val="0"/>
                <w:sz w:val="24"/>
                <w:szCs w:val="24"/>
                <w:lang w:val="en-US" w:eastAsia="zh-CN" w:bidi="ar"/>
              </w:rPr>
              <w:t>徐晓颖</w:t>
            </w:r>
          </w:p>
        </w:tc>
        <w:tc>
          <w:tcPr>
            <w:tcW w:w="1335" w:type="dxa"/>
            <w:tcBorders>
              <w:top w:val="single" w:color="auto" w:sz="4" w:space="0"/>
              <w:left w:val="nil"/>
              <w:bottom w:val="single" w:color="auto" w:sz="4" w:space="0"/>
              <w:right w:val="single" w:color="auto" w:sz="4" w:space="0"/>
            </w:tcBorders>
            <w:shd w:val="clear" w:color="auto" w:fill="auto"/>
            <w:tcMar>
              <w:top w:w="11" w:type="dxa"/>
              <w:left w:w="11" w:type="dxa"/>
              <w:bottom w:w="0"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bCs w:val="0"/>
                <w:color w:val="333333"/>
              </w:rPr>
            </w:pPr>
            <w:r>
              <w:rPr>
                <w:rFonts w:hint="eastAsia" w:ascii="黑体" w:hAnsi="宋体" w:eastAsia="黑体" w:cs="黑体"/>
                <w:b w:val="0"/>
                <w:bCs w:val="0"/>
                <w:color w:val="333333"/>
                <w:kern w:val="0"/>
                <w:sz w:val="24"/>
                <w:szCs w:val="24"/>
                <w:lang w:val="en-US" w:eastAsia="zh-CN" w:bidi="ar"/>
              </w:rPr>
              <w:t>电话</w:t>
            </w:r>
          </w:p>
        </w:tc>
        <w:tc>
          <w:tcPr>
            <w:tcW w:w="4146" w:type="dxa"/>
            <w:tcBorders>
              <w:top w:val="single" w:color="auto" w:sz="4" w:space="0"/>
              <w:left w:val="nil"/>
              <w:bottom w:val="single" w:color="auto" w:sz="4" w:space="0"/>
              <w:right w:val="single" w:color="auto" w:sz="4" w:space="0"/>
            </w:tcBorders>
            <w:shd w:val="clear" w:color="auto" w:fill="auto"/>
            <w:noWrap/>
            <w:tcMar>
              <w:top w:w="11" w:type="dxa"/>
              <w:left w:w="11" w:type="dxa"/>
              <w:bottom w:w="0"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bCs w:val="0"/>
                <w:color w:val="333333"/>
              </w:rPr>
            </w:pPr>
            <w:r>
              <w:rPr>
                <w:rFonts w:hint="eastAsia" w:ascii="仿宋_GB2312" w:hAnsi="Microsoft YaHei UI" w:eastAsia="仿宋_GB2312" w:cs="仿宋_GB2312"/>
                <w:b w:val="0"/>
                <w:bCs w:val="0"/>
                <w:color w:val="333333"/>
                <w:kern w:val="0"/>
                <w:sz w:val="24"/>
                <w:szCs w:val="24"/>
                <w:lang w:val="en-US" w:eastAsia="zh-CN" w:bidi="ar"/>
              </w:rPr>
              <w:t>024-31607092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5" w:hRule="atLeast"/>
        </w:trPr>
        <w:tc>
          <w:tcPr>
            <w:tcW w:w="1370" w:type="dxa"/>
            <w:tcBorders>
              <w:top w:val="single" w:color="auto" w:sz="4" w:space="0"/>
              <w:left w:val="single" w:color="auto" w:sz="4" w:space="0"/>
              <w:bottom w:val="single" w:color="auto" w:sz="4" w:space="0"/>
              <w:right w:val="single" w:color="auto" w:sz="4" w:space="0"/>
            </w:tcBorders>
            <w:shd w:val="clear" w:color="auto" w:fill="auto"/>
            <w:noWrap/>
            <w:tcMar>
              <w:top w:w="11" w:type="dxa"/>
              <w:left w:w="11" w:type="dxa"/>
              <w:bottom w:w="0"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bCs w:val="0"/>
                <w:color w:val="333333"/>
              </w:rPr>
            </w:pPr>
            <w:r>
              <w:rPr>
                <w:rFonts w:hint="eastAsia" w:ascii="黑体" w:hAnsi="宋体" w:eastAsia="黑体" w:cs="黑体"/>
                <w:b w:val="0"/>
                <w:bCs w:val="0"/>
                <w:color w:val="333333"/>
                <w:kern w:val="0"/>
                <w:sz w:val="24"/>
                <w:szCs w:val="24"/>
                <w:lang w:val="en-US" w:eastAsia="zh-CN" w:bidi="ar"/>
              </w:rPr>
              <w:t>其他说明事项</w:t>
            </w:r>
          </w:p>
        </w:tc>
        <w:tc>
          <w:tcPr>
            <w:tcW w:w="7511" w:type="dxa"/>
            <w:gridSpan w:val="3"/>
            <w:tcBorders>
              <w:top w:val="single" w:color="auto" w:sz="4" w:space="0"/>
              <w:left w:val="nil"/>
              <w:bottom w:val="single" w:color="auto" w:sz="4" w:space="0"/>
              <w:right w:val="single" w:color="auto" w:sz="4" w:space="0"/>
            </w:tcBorders>
            <w:shd w:val="clear" w:color="auto" w:fill="auto"/>
            <w:noWrap/>
            <w:tcMar>
              <w:top w:w="11" w:type="dxa"/>
              <w:left w:w="11" w:type="dxa"/>
              <w:bottom w:w="0"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bCs w:val="0"/>
                <w:color w:val="333333"/>
              </w:rPr>
            </w:pPr>
            <w:r>
              <w:rPr>
                <w:rFonts w:hint="eastAsia" w:ascii="仿宋_GB2312" w:hAnsi="Microsoft YaHei UI" w:eastAsia="仿宋_GB2312" w:cs="仿宋_GB2312"/>
                <w:b w:val="0"/>
                <w:bCs w:val="0"/>
                <w:color w:val="333333"/>
                <w:kern w:val="0"/>
                <w:sz w:val="24"/>
                <w:szCs w:val="24"/>
                <w:lang w:val="en-US" w:eastAsia="zh-CN" w:bidi="ar"/>
              </w:rPr>
              <w:t>无</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auto"/>
    <w:pitch w:val="default"/>
    <w:sig w:usb0="00000000" w:usb1="00000000" w:usb2="00000016" w:usb3="00000000" w:csb0="0004001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5NzVkOGI4NjMyYjI2ZWZlNWE0M2M3OGU1MTNiMzgifQ=="/>
  </w:docVars>
  <w:rsids>
    <w:rsidRoot w:val="00000000"/>
    <w:rsid w:val="02405F8A"/>
    <w:rsid w:val="0AEE54A4"/>
    <w:rsid w:val="0DC363ED"/>
    <w:rsid w:val="0F2E5142"/>
    <w:rsid w:val="11E17F35"/>
    <w:rsid w:val="12E05543"/>
    <w:rsid w:val="146D5582"/>
    <w:rsid w:val="1A567069"/>
    <w:rsid w:val="1C420957"/>
    <w:rsid w:val="24466FD8"/>
    <w:rsid w:val="25301277"/>
    <w:rsid w:val="29453D02"/>
    <w:rsid w:val="3958538C"/>
    <w:rsid w:val="5B765E19"/>
    <w:rsid w:val="5BDD708B"/>
    <w:rsid w:val="6F8C5890"/>
    <w:rsid w:val="75CD6CA8"/>
    <w:rsid w:val="76005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FollowedHyperlink"/>
    <w:basedOn w:val="3"/>
    <w:qFormat/>
    <w:uiPriority w:val="0"/>
    <w:rPr>
      <w:rFonts w:hint="eastAsia" w:ascii="Microsoft YaHei UI" w:hAnsi="Microsoft YaHei UI" w:eastAsia="Microsoft YaHei UI" w:cs="Microsoft YaHei UI"/>
      <w:color w:val="333333"/>
      <w:sz w:val="24"/>
      <w:szCs w:val="24"/>
      <w:u w:val="none"/>
    </w:rPr>
  </w:style>
  <w:style w:type="character" w:styleId="5">
    <w:name w:val="Hyperlink"/>
    <w:basedOn w:val="3"/>
    <w:qFormat/>
    <w:uiPriority w:val="0"/>
    <w:rPr>
      <w:rFonts w:ascii="Microsoft YaHei UI" w:hAnsi="Microsoft YaHei UI" w:eastAsia="Microsoft YaHei UI" w:cs="Microsoft YaHei UI"/>
      <w:color w:val="333333"/>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567</Words>
  <Characters>604</Characters>
  <Lines>0</Lines>
  <Paragraphs>0</Paragraphs>
  <TotalTime>49</TotalTime>
  <ScaleCrop>false</ScaleCrop>
  <LinksUpToDate>false</LinksUpToDate>
  <CharactersWithSpaces>605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2022-05-09T07:35:00Z</dcterms:created>
  <dc:creator>Administrator</dc:creator>
  <cp:lastModifiedBy>徐晓颖</cp:lastModifiedBy>
  <cp:lastPrinted>2023-02-24T06:15:00Z</cp:lastPrinted>
  <dcterms:modified xsi:type="dcterms:W3CDTF">2023-03-06T06:25:32Z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38074FEE3C334087B5D7EDF1787D9F7D</vt:lpwstr>
  </property>
</Properties>
</file>