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505" w:tblpY="1729"/>
        <w:tblOverlap w:val="never"/>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70"/>
        <w:gridCol w:w="2030"/>
        <w:gridCol w:w="1335"/>
        <w:gridCol w:w="4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881" w:type="dxa"/>
            <w:gridSpan w:val="4"/>
            <w:tcBorders>
              <w:top w:val="nil"/>
              <w:left w:val="nil"/>
              <w:bottom w:val="nil"/>
              <w:right w:val="nil"/>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方正小标宋简体" w:hAnsi="方正小标宋简体" w:eastAsia="方正小标宋简体" w:cs="方正小标宋简体"/>
                <w:b w:val="0"/>
                <w:bCs w:val="0"/>
                <w:color w:val="333333"/>
                <w:kern w:val="0"/>
                <w:sz w:val="40"/>
                <w:szCs w:val="40"/>
                <w:lang w:val="en-US" w:eastAsia="zh-CN" w:bidi="ar"/>
              </w:rPr>
              <w:t>省药监局202</w:t>
            </w:r>
            <w:r>
              <w:rPr>
                <w:rFonts w:hint="eastAsia" w:ascii="方正小标宋简体" w:hAnsi="方正小标宋简体" w:eastAsia="方正小标宋简体" w:cs="方正小标宋简体"/>
                <w:b w:val="0"/>
                <w:bCs w:val="0"/>
                <w:color w:val="333333"/>
                <w:kern w:val="0"/>
                <w:sz w:val="40"/>
                <w:szCs w:val="40"/>
                <w:lang w:val="en-US" w:eastAsia="zh-CN" w:bidi="ar"/>
              </w:rPr>
              <w:t>4</w:t>
            </w:r>
            <w:r>
              <w:rPr>
                <w:rFonts w:ascii="方正小标宋简体" w:hAnsi="方正小标宋简体" w:eastAsia="方正小标宋简体" w:cs="方正小标宋简体"/>
                <w:b w:val="0"/>
                <w:bCs w:val="0"/>
                <w:color w:val="333333"/>
                <w:kern w:val="0"/>
                <w:sz w:val="40"/>
                <w:szCs w:val="40"/>
                <w:lang w:val="en-US" w:eastAsia="zh-CN" w:bidi="ar"/>
              </w:rPr>
              <w:t>年度政府购买服务项目公开表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 w:hRule="atLeast"/>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黑体" w:hAnsi="宋体" w:eastAsia="黑体" w:cs="黑体"/>
                <w:b w:val="0"/>
                <w:bCs w:val="0"/>
                <w:color w:val="333333"/>
                <w:kern w:val="0"/>
                <w:sz w:val="24"/>
                <w:szCs w:val="24"/>
                <w:lang w:val="en-US" w:eastAsia="zh-CN" w:bidi="ar"/>
              </w:rPr>
              <w:t>购买主体</w:t>
            </w:r>
          </w:p>
        </w:tc>
        <w:tc>
          <w:tcPr>
            <w:tcW w:w="7511"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ascii="仿宋_GB2312" w:hAnsi="Microsoft YaHei UI" w:eastAsia="仿宋_GB2312" w:cs="仿宋_GB2312"/>
                <w:b w:val="0"/>
                <w:bCs w:val="0"/>
                <w:color w:val="333333"/>
                <w:kern w:val="0"/>
                <w:sz w:val="24"/>
                <w:szCs w:val="24"/>
                <w:lang w:val="en-US" w:eastAsia="zh-CN" w:bidi="ar"/>
              </w:rPr>
              <w:t>辽宁省药品监督管理局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地点</w:t>
            </w:r>
          </w:p>
        </w:tc>
        <w:tc>
          <w:tcPr>
            <w:tcW w:w="7511"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沈阳市和平区十纬路16号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1370"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项目名称</w:t>
            </w:r>
          </w:p>
        </w:tc>
        <w:tc>
          <w:tcPr>
            <w:tcW w:w="2030"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药械化抽检等服务</w:t>
            </w:r>
          </w:p>
        </w:tc>
        <w:tc>
          <w:tcPr>
            <w:tcW w:w="1335"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预算资金</w:t>
            </w:r>
            <w:r>
              <w:rPr>
                <w:rFonts w:hint="eastAsia" w:ascii="黑体" w:hAnsi="宋体" w:eastAsia="黑体" w:cs="黑体"/>
                <w:b w:val="0"/>
                <w:bCs w:val="0"/>
                <w:color w:val="333333"/>
                <w:kern w:val="0"/>
                <w:sz w:val="24"/>
                <w:szCs w:val="24"/>
                <w:lang w:val="en-US" w:eastAsia="zh-CN" w:bidi="ar"/>
              </w:rPr>
              <w:br w:type="textWrapping"/>
            </w:r>
            <w:r>
              <w:rPr>
                <w:rFonts w:hint="eastAsia" w:ascii="黑体" w:hAnsi="宋体" w:eastAsia="黑体" w:cs="黑体"/>
                <w:b w:val="0"/>
                <w:bCs w:val="0"/>
                <w:color w:val="333333"/>
                <w:kern w:val="0"/>
                <w:sz w:val="24"/>
                <w:szCs w:val="24"/>
                <w:lang w:val="en-US" w:eastAsia="zh-CN" w:bidi="ar"/>
              </w:rPr>
              <w:t>（万元）</w:t>
            </w:r>
          </w:p>
        </w:tc>
        <w:tc>
          <w:tcPr>
            <w:tcW w:w="4146"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highlight w:val="none"/>
                <w:lang w:val="en-US" w:eastAsia="zh-CN" w:bidi="ar"/>
              </w:rPr>
              <w:t>1,627.03万元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1" w:hRule="atLeast"/>
        </w:trPr>
        <w:tc>
          <w:tcPr>
            <w:tcW w:w="1370"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项目内容</w:t>
            </w:r>
            <w:r>
              <w:rPr>
                <w:rFonts w:hint="eastAsia" w:ascii="黑体" w:hAnsi="宋体" w:eastAsia="黑体" w:cs="黑体"/>
                <w:b w:val="0"/>
                <w:bCs w:val="0"/>
                <w:color w:val="333333"/>
                <w:kern w:val="0"/>
                <w:sz w:val="24"/>
                <w:szCs w:val="24"/>
                <w:lang w:val="en-US" w:eastAsia="zh-CN" w:bidi="ar"/>
              </w:rPr>
              <w:br w:type="textWrapping"/>
            </w:r>
            <w:r>
              <w:rPr>
                <w:rFonts w:hint="eastAsia" w:ascii="仿宋_GB2312" w:hAnsi="宋体" w:eastAsia="仿宋_GB2312" w:cs="仿宋_GB2312"/>
                <w:kern w:val="0"/>
                <w:sz w:val="24"/>
                <w:szCs w:val="24"/>
                <w:lang w:val="en-US" w:eastAsia="zh-CN" w:bidi="ar"/>
              </w:rPr>
              <w:t>（简要规格描述或基本概况）</w:t>
            </w:r>
          </w:p>
        </w:tc>
        <w:tc>
          <w:tcPr>
            <w:tcW w:w="7511" w:type="dxa"/>
            <w:gridSpan w:val="3"/>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一、药品抽检（1.药品抽样200批次、2.药品检验1000批次）；二、疫苗批签发检验（1.</w:t>
            </w:r>
            <w:r>
              <w:rPr>
                <w:rFonts w:hint="eastAsia" w:ascii="仿宋_GB2312" w:hAnsi="Microsoft YaHei UI" w:eastAsia="仿宋_GB2312" w:cs="仿宋_GB2312"/>
                <w:b w:val="0"/>
                <w:bCs w:val="0"/>
                <w:color w:val="auto"/>
                <w:kern w:val="0"/>
                <w:sz w:val="24"/>
                <w:szCs w:val="24"/>
                <w:lang w:val="en-US" w:eastAsia="zh-CN" w:bidi="ar"/>
              </w:rPr>
              <w:t>乙肝疫苗批签发检验</w:t>
            </w:r>
            <w:r>
              <w:rPr>
                <w:rFonts w:hint="eastAsia" w:ascii="仿宋_GB2312" w:hAnsi="Microsoft YaHei UI" w:eastAsia="仿宋_GB2312" w:cs="仿宋_GB2312"/>
                <w:b w:val="0"/>
                <w:bCs w:val="0"/>
                <w:color w:val="333333"/>
                <w:kern w:val="0"/>
                <w:sz w:val="24"/>
                <w:szCs w:val="24"/>
                <w:lang w:val="en-US" w:eastAsia="zh-CN" w:bidi="ar"/>
              </w:rPr>
              <w:t>、2.流感疫苗批签发检验）；三、药品注册检验（1.药品注册样品检验、2.药品注册标准复核）；四、药包材容器风险监测（70批次）；五、医疗器械抽检验（354批次）；六、化妆品抽检（122批次）；七、行刑衔接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370" w:type="dxa"/>
            <w:vMerge w:val="restart"/>
            <w:tcBorders>
              <w:top w:val="nil"/>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购买方式</w:t>
            </w:r>
          </w:p>
        </w:tc>
        <w:tc>
          <w:tcPr>
            <w:tcW w:w="2030" w:type="dxa"/>
            <w:vMerge w:val="restart"/>
            <w:tcBorders>
              <w:top w:val="nil"/>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单一来源采购</w:t>
            </w:r>
          </w:p>
        </w:tc>
        <w:tc>
          <w:tcPr>
            <w:tcW w:w="1335" w:type="dxa"/>
            <w:vMerge w:val="restart"/>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唯一承接主体对象名称及原因</w:t>
            </w:r>
          </w:p>
        </w:tc>
        <w:tc>
          <w:tcPr>
            <w:tcW w:w="4146" w:type="dxa"/>
            <w:vMerge w:val="restart"/>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eastAsia="仿宋_GB2312"/>
                <w:b w:val="0"/>
                <w:bCs w:val="0"/>
                <w:color w:val="333333"/>
                <w:lang w:val="en-US" w:eastAsia="zh-CN"/>
              </w:rPr>
            </w:pPr>
            <w:r>
              <w:rPr>
                <w:rFonts w:hint="eastAsia" w:ascii="仿宋_GB2312" w:hAnsi="Microsoft YaHei UI" w:eastAsia="仿宋_GB2312" w:cs="仿宋_GB2312"/>
                <w:b w:val="0"/>
                <w:bCs w:val="0"/>
                <w:color w:val="333333"/>
                <w:kern w:val="0"/>
                <w:sz w:val="24"/>
                <w:szCs w:val="24"/>
                <w:lang w:val="en-US" w:eastAsia="zh-CN" w:bidi="ar"/>
              </w:rPr>
              <w:t>承接主体：辽宁省检验检测认证中心。原因：《中华人民共和国药品管理法》规定，药品监督管理部门设置或指定的药品专业技术机构，承担依法实施药品监督管理所需的审评、检验、核查、监测、与评价等工作；《医疗器械监督管理条例》规定，负责药品监督管理的部门在执法工作中需要对医疗器械进行检验的，应当委托有资质的医疗器械检验机构进行，并支付相关费用。省药监局的药械化抽检等服务属政策法规规定的可以指定和委托服务机构的情况</w:t>
            </w:r>
            <w:bookmarkStart w:id="0" w:name="_GoBack"/>
            <w:bookmarkEnd w:id="0"/>
            <w:r>
              <w:rPr>
                <w:rFonts w:hint="eastAsia" w:ascii="仿宋_GB2312" w:hAnsi="Microsoft YaHei UI" w:eastAsia="仿宋_GB2312" w:cs="仿宋_GB2312"/>
                <w:b w:val="0"/>
                <w:bCs w:val="0"/>
                <w:color w:val="333333"/>
                <w:kern w:val="0"/>
                <w:sz w:val="24"/>
                <w:szCs w:val="24"/>
                <w:lang w:val="en-US" w:eastAsia="zh-CN" w:bidi="ar"/>
              </w:rPr>
              <w:t>。省检验检测认证中心分支机构药品检验检测院和医疗器械检验检测院原为省食药监局设置的直属事业单位，一直承担药械化抽检相关工作。因此，2024年继续采用单一来源方式采购其服务。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77" w:hRule="atLeast"/>
        </w:trPr>
        <w:tc>
          <w:tcPr>
            <w:tcW w:w="1370" w:type="dxa"/>
            <w:vMerge w:val="continue"/>
            <w:tcBorders>
              <w:top w:val="nil"/>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2030" w:type="dxa"/>
            <w:vMerge w:val="continue"/>
            <w:tcBorders>
              <w:top w:val="nil"/>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1335" w:type="dxa"/>
            <w:vMerge w:val="continue"/>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c>
          <w:tcPr>
            <w:tcW w:w="4146" w:type="dxa"/>
            <w:vMerge w:val="continue"/>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rPr>
                <w:rFonts w:hint="eastAsia" w:ascii="Microsoft YaHei UI" w:hAnsi="Microsoft YaHei UI" w:eastAsia="Microsoft YaHei UI" w:cs="Microsoft YaHei UI"/>
                <w:color w:val="333333"/>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5" w:hRule="atLeast"/>
        </w:trPr>
        <w:tc>
          <w:tcPr>
            <w:tcW w:w="1370" w:type="dxa"/>
            <w:tcBorders>
              <w:top w:val="single" w:color="auto" w:sz="4" w:space="0"/>
              <w:left w:val="single" w:color="auto" w:sz="4" w:space="0"/>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购买项目联系人</w:t>
            </w:r>
          </w:p>
        </w:tc>
        <w:tc>
          <w:tcPr>
            <w:tcW w:w="2030" w:type="dxa"/>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徐晓颖</w:t>
            </w:r>
          </w:p>
        </w:tc>
        <w:tc>
          <w:tcPr>
            <w:tcW w:w="1335" w:type="dxa"/>
            <w:tcBorders>
              <w:top w:val="single" w:color="auto" w:sz="4" w:space="0"/>
              <w:left w:val="nil"/>
              <w:bottom w:val="single" w:color="auto" w:sz="4" w:space="0"/>
              <w:right w:val="single" w:color="auto" w:sz="4" w:space="0"/>
            </w:tcBorders>
            <w:shd w:val="clear" w:color="auto" w:fill="auto"/>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电话</w:t>
            </w:r>
          </w:p>
        </w:tc>
        <w:tc>
          <w:tcPr>
            <w:tcW w:w="4146" w:type="dxa"/>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024-31607092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1370" w:type="dxa"/>
            <w:tcBorders>
              <w:top w:val="single" w:color="auto" w:sz="4" w:space="0"/>
              <w:left w:val="single" w:color="auto" w:sz="4" w:space="0"/>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黑体" w:hAnsi="宋体" w:eastAsia="黑体" w:cs="黑体"/>
                <w:b w:val="0"/>
                <w:bCs w:val="0"/>
                <w:color w:val="333333"/>
                <w:kern w:val="0"/>
                <w:sz w:val="24"/>
                <w:szCs w:val="24"/>
                <w:lang w:val="en-US" w:eastAsia="zh-CN" w:bidi="ar"/>
              </w:rPr>
              <w:t>其他说明事项</w:t>
            </w:r>
          </w:p>
        </w:tc>
        <w:tc>
          <w:tcPr>
            <w:tcW w:w="7511" w:type="dxa"/>
            <w:gridSpan w:val="3"/>
            <w:tcBorders>
              <w:top w:val="single" w:color="auto" w:sz="4" w:space="0"/>
              <w:left w:val="nil"/>
              <w:bottom w:val="single" w:color="auto" w:sz="4" w:space="0"/>
              <w:right w:val="single" w:color="auto" w:sz="4" w:space="0"/>
            </w:tcBorders>
            <w:shd w:val="clear" w:color="auto" w:fill="auto"/>
            <w:noWrap/>
            <w:tcMar>
              <w:top w:w="11" w:type="dxa"/>
              <w:left w:w="11" w:type="dxa"/>
              <w:bottom w:w="0" w:type="dxa"/>
              <w:right w:w="11"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bCs w:val="0"/>
                <w:color w:val="333333"/>
              </w:rPr>
            </w:pPr>
            <w:r>
              <w:rPr>
                <w:rFonts w:hint="eastAsia" w:ascii="仿宋_GB2312" w:hAnsi="Microsoft YaHei UI" w:eastAsia="仿宋_GB2312" w:cs="仿宋_GB2312"/>
                <w:b w:val="0"/>
                <w:bCs w:val="0"/>
                <w:color w:val="333333"/>
                <w:kern w:val="0"/>
                <w:sz w:val="24"/>
                <w:szCs w:val="24"/>
                <w:lang w:val="en-US" w:eastAsia="zh-CN" w:bidi="ar"/>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NzVkOGI4NjMyYjI2ZWZlNWE0M2M3OGU1MTNiMzgifQ=="/>
  </w:docVars>
  <w:rsids>
    <w:rsidRoot w:val="00000000"/>
    <w:rsid w:val="02405F8A"/>
    <w:rsid w:val="0AEE54A4"/>
    <w:rsid w:val="0C14470F"/>
    <w:rsid w:val="0DC363ED"/>
    <w:rsid w:val="0F2E5142"/>
    <w:rsid w:val="11E17F35"/>
    <w:rsid w:val="12E05543"/>
    <w:rsid w:val="146D5582"/>
    <w:rsid w:val="18430823"/>
    <w:rsid w:val="195E16BF"/>
    <w:rsid w:val="1A567069"/>
    <w:rsid w:val="1C420957"/>
    <w:rsid w:val="24466FD8"/>
    <w:rsid w:val="25301277"/>
    <w:rsid w:val="29453D02"/>
    <w:rsid w:val="2E770D48"/>
    <w:rsid w:val="30946871"/>
    <w:rsid w:val="3958538C"/>
    <w:rsid w:val="3BEB1D07"/>
    <w:rsid w:val="444906F3"/>
    <w:rsid w:val="45EC4B95"/>
    <w:rsid w:val="54D477A6"/>
    <w:rsid w:val="5B765E19"/>
    <w:rsid w:val="5BDD708B"/>
    <w:rsid w:val="5FB44862"/>
    <w:rsid w:val="62F108DD"/>
    <w:rsid w:val="6F8C5890"/>
    <w:rsid w:val="75CD6CA8"/>
    <w:rsid w:val="7600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rFonts w:hint="eastAsia" w:ascii="Microsoft YaHei UI" w:hAnsi="Microsoft YaHei UI" w:eastAsia="Microsoft YaHei UI" w:cs="Microsoft YaHei UI"/>
      <w:color w:val="333333"/>
      <w:sz w:val="24"/>
      <w:szCs w:val="24"/>
      <w:u w:val="none"/>
    </w:rPr>
  </w:style>
  <w:style w:type="character" w:styleId="5">
    <w:name w:val="Hyperlink"/>
    <w:basedOn w:val="3"/>
    <w:qFormat/>
    <w:uiPriority w:val="0"/>
    <w:rPr>
      <w:rFonts w:ascii="Microsoft YaHei UI" w:hAnsi="Microsoft YaHei UI" w:eastAsia="Microsoft YaHei UI" w:cs="Microsoft YaHei UI"/>
      <w:color w:val="333333"/>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567</Words>
  <Characters>604</Characters>
  <Lines>0</Lines>
  <Paragraphs>0</Paragraphs>
  <TotalTime>48</TotalTime>
  <ScaleCrop>false</ScaleCrop>
  <LinksUpToDate>false</LinksUpToDate>
  <CharactersWithSpaces>605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2022-05-09T07:35:00Z</dcterms:created>
  <dc:creator>Administrator</dc:creator>
  <cp:lastModifiedBy>徐晓颖</cp:lastModifiedBy>
  <cp:lastPrinted>2024-03-12T05:34:00Z</cp:lastPrinted>
  <dcterms:modified xsi:type="dcterms:W3CDTF">2024-03-19T01:28:14Z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38074FEE3C334087B5D7EDF1787D9F7D</vt:lpwstr>
  </property>
</Properties>
</file>